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ee15fcd9020493e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33030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OPĆINA ČAČINCI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22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III 2026.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719.249,65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509.606,24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70,9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293.365,85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370.043,33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126,1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425.883,80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139.562,91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32,8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336,89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1.277,62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379,2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96.909,01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139.744,71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144,2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96.572,12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138.467,09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143,4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24.657,53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36.986,31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150,0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PRIMITAKA OD FINANCIJSKE IMOVINE I ZADUŽIVANJA (šifre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24.657,53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36.986,31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150,0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35.890,49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razdoblju od 01. siječnja do 31. ožujka 2026. godine prihodi poslovanja ostvareni su u iznosu 509.606,24 eur što je smanjenje za 29,1% u odnosu na isto razdoblje prethodne godine najznačajnije smanjenje prihoda ostvareno je kroz porez na dohodak i kapitalne pomoći iz državnog proračuna. Rashodi poslovanja od 01. siječnja do 31. ožujka 2026. godine ostvareni su u iznosu od 370.043,33 eur.  Značajne promjene su nastale na rashodima za zaposlene zbog provođenja programa Zaželi sretniju starost u općini Čačinci gdje je zaposleno 12 djelatnica te je došlo do povećanja minimalne plaće te pomoći proračunskim korisnicima drugih proračuna što je rezultat povećanja plaća djelatnicima vrtića kako bi bile u skladu sa zakonskim propisima. U razdoblju od 01. siječnja do 31. ožujka 2026. godine prihodi od prodaje nefinancijske imovine su 1.277,62 eur te su najvećim djelom prohodi od prodaje poljoprivrednog zemljišta u vlasništvu RH. Rashodi za nabavu nefinancijske imovine su povećani u odnosu na prethodnu godinu.  Izdaci za financijsku imovinu odnose na kratkoročni kredit kod Slatinske banke. U razdoblju od 01. siječnja do 31. ožujka 2026. godine ostvaren je višak poslovanja u iznosu 139.562,91 eur, manjak prihoda od nefinancijske imovine u iznosu od 138.467,09 eur, manjak od financijske imovine i zaduživanja od 36.986,31eur. Slijedom svega navedenog u ovom izvještajnom razdoblju ostvaren je ukupan manjak prihoda i primitaka u iznosu 35.890,49 eur.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proračunu i izvanproračunskim korisnicima iz drugih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36.159,62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22.744,00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62,9</w:t>
            </w:r>
          </w:p>
        </w:tc>
      </w:tr>
    </w:tbl>
    <w:p>
      <w:pPr>
        <w:spacing w:before="0" w:after="0"/>
      </w:pPr>
    </w:p>
    <w:p>
      <w:r>
        <w:t xml:space="preserve">Sredstva za fiskalnu održivost Dječji vrtić Lipa Čađavica.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pomoći temeljem prijenosa EU sredstava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36.337,50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54.365,53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149,6</w:t>
            </w:r>
          </w:p>
        </w:tc>
      </w:tr>
    </w:tbl>
    <w:p>
      <w:pPr>
        <w:spacing w:before="0" w:after="0"/>
      </w:pPr>
    </w:p>
    <w:p>
      <w:r>
        <w:t xml:space="preserve">Uplaćena kapitalna pomoć se odnosi na Energetsku obnovu Doma Humljani</w:t>
      </w:r>
    </w:p>
    <w:p>
      <w:r>
        <w:t xml:space="preserve">koja Ministarstvo regionalnoga razvoja i fondova Europske unije.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17.402,11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19.566,13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112,4</w:t>
            </w:r>
          </w:p>
        </w:tc>
      </w:tr>
    </w:tbl>
    <w:p>
      <w:pPr>
        <w:spacing w:before="0" w:after="0"/>
      </w:pPr>
    </w:p>
    <w:p>
      <w:r>
        <w:t xml:space="preserve">Ostale usluge odnose se na orezivanje stabala na području općine, uređenje okućnice,</w:t>
      </w:r>
    </w:p>
    <w:p>
      <w:r>
        <w:t xml:space="preserve">te nabavu sadnica za groblje Čačinci.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Bankarske usluge i usluge platnog prometa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421,56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1.876,50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445,1</w:t>
            </w:r>
          </w:p>
        </w:tc>
      </w:tr>
    </w:tbl>
    <w:p>
      <w:pPr>
        <w:spacing w:before="0" w:after="0"/>
      </w:pPr>
    </w:p>
    <w:p>
      <w:r>
        <w:t xml:space="preserve">Bankarske usluge su se povećale u odnosu na prethodnu godinu jer je plaćana naknada banci za odobrenje</w:t>
      </w:r>
    </w:p>
    <w:p>
      <w:r>
        <w:t xml:space="preserve">prekoračenja po računu (minus) u iznosu 1.500,00 eur.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građanima i kućanstvima u novcu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4.030,00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20.130,00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499,5</w:t>
            </w:r>
          </w:p>
        </w:tc>
      </w:tr>
    </w:tbl>
    <w:p>
      <w:pPr>
        <w:spacing w:before="0" w:after="0"/>
      </w:pPr>
    </w:p>
    <w:p>
      <w:r>
        <w:t xml:space="preserve">Stavka je uvelike povećana u odnosu na prethodnu godinu zbog financijske potpore liječniku </w:t>
      </w:r>
    </w:p>
    <w:p>
      <w:r>
        <w:t xml:space="preserve">opće medicine u Domu zdravlja VPŽ, ordinacija Čačinci, u iznosu 12.000,00 eur za 2026. godinu.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Poslovni objekti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51.942,44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Troškovi se odnose na Energetsku obnovu Doma Paušinci i Doma Humljani.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građevinski objekti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77.657,88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Trokovi se odnose na izgradnju montažnih tribina u sportskom centru u Čačincima u iznosu 59.408,04eur</w:t>
      </w:r>
    </w:p>
    <w:p>
      <w:r>
        <w:t xml:space="preserve">te postavljanje javne rasvjete kroz Bukviučku ulicu i Lipovačku-18.059,80 eur.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Općina Čačinci nema dospjelih obveza na kraju izvještajnog razdoblja.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EU izvještaj</w:t>
      </w:r>
    </w:p>
    <w:p>
      <w:r>
        <w:t xml:space="preserve">Tijekom 2026. godine Općina Čačinci je ostvarila prihode za korištenje EU sredstava iz dva izvora i to:</w:t>
      </w:r>
    </w:p>
    <w:p>
      <w:r>
        <w:t xml:space="preserve">•         561Europski socijalni fond što koristi za program Zaželi sretniju starost u Općini Čačinci</w:t>
      </w:r>
    </w:p>
    <w:p>
      <w:r>
        <w:t xml:space="preserve">•         581  Ministarstvo prostornog uređenja, graditeljstva i državne imovine ima potpisane ugovore za projekte Energetska obnova doma Humljani na adresi Humljani 53, Humljani, Čačinci i Energetska obnova doma u Paušincima na adresi Ulica Josipa Jurenca 65, Paušinci, Čačinci i Energetska obnova doma u Paušincima na adresi Ulica Josipa Jurenca 65, Paušinci, Čačinci.</w:t>
      </w:r>
    </w:p>
    <w:p>
      <w:r>
        <w:t xml:space="preserve"> 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8f6444ffa5aa45f6" /></Relationships>
</file>